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b/>
          <w:sz w:val="32"/>
          <w:szCs w:val="32"/>
        </w:rPr>
      </w:pPr>
    </w:p>
    <w:p>
      <w:pPr>
        <w:jc w:val="center"/>
        <w:rPr>
          <w:rFonts w:ascii="黑体" w:hAnsi="黑体" w:eastAsia="黑体"/>
          <w:b/>
          <w:sz w:val="32"/>
          <w:szCs w:val="32"/>
        </w:rPr>
      </w:pPr>
      <w:r>
        <w:rPr>
          <w:rFonts w:ascii="黑体" w:hAnsi="黑体" w:eastAsia="黑体"/>
          <w:b/>
          <w:sz w:val="32"/>
          <w:szCs w:val="32"/>
        </w:rPr>
        <w:t>关于进一步加强上海港危化品集装箱</w:t>
      </w:r>
    </w:p>
    <w:p>
      <w:pPr>
        <w:jc w:val="center"/>
        <w:rPr>
          <w:rFonts w:ascii="黑体" w:hAnsi="黑体" w:eastAsia="黑体"/>
          <w:b/>
          <w:sz w:val="32"/>
          <w:szCs w:val="32"/>
        </w:rPr>
      </w:pPr>
      <w:r>
        <w:rPr>
          <w:rFonts w:ascii="黑体" w:hAnsi="黑体" w:eastAsia="黑体"/>
          <w:b/>
          <w:sz w:val="32"/>
          <w:szCs w:val="32"/>
        </w:rPr>
        <w:t>安全管理的操作流程</w:t>
      </w:r>
      <w:r>
        <w:rPr>
          <w:rFonts w:hint="eastAsia" w:ascii="黑体" w:hAnsi="黑体" w:eastAsia="黑体"/>
          <w:b/>
          <w:sz w:val="32"/>
          <w:szCs w:val="32"/>
        </w:rPr>
        <w:t>（港内）</w:t>
      </w:r>
    </w:p>
    <w:p>
      <w:pPr>
        <w:rPr>
          <w:rFonts w:ascii="黑体" w:hAnsi="黑体" w:eastAsia="黑体"/>
          <w:b/>
          <w:sz w:val="32"/>
          <w:szCs w:val="32"/>
        </w:rPr>
      </w:pPr>
    </w:p>
    <w:p>
      <w:pPr>
        <w:ind w:firstLine="560" w:firstLineChars="200"/>
        <w:rPr>
          <w:rFonts w:ascii="仿宋" w:hAnsi="仿宋" w:eastAsia="仿宋"/>
          <w:sz w:val="28"/>
          <w:szCs w:val="28"/>
        </w:rPr>
      </w:pPr>
      <w:r>
        <w:rPr>
          <w:rFonts w:ascii="仿宋" w:hAnsi="仿宋" w:eastAsia="仿宋"/>
          <w:sz w:val="28"/>
          <w:szCs w:val="28"/>
        </w:rPr>
        <w:t>为加强上海港危化品集装箱</w:t>
      </w:r>
      <w:r>
        <w:rPr>
          <w:rFonts w:hint="eastAsia" w:ascii="仿宋" w:hAnsi="仿宋" w:eastAsia="仿宋"/>
          <w:sz w:val="28"/>
          <w:szCs w:val="28"/>
        </w:rPr>
        <w:t>安全</w:t>
      </w:r>
      <w:r>
        <w:rPr>
          <w:rFonts w:ascii="仿宋" w:hAnsi="仿宋" w:eastAsia="仿宋"/>
          <w:sz w:val="28"/>
          <w:szCs w:val="28"/>
        </w:rPr>
        <w:t>管理</w:t>
      </w:r>
      <w:r>
        <w:rPr>
          <w:rFonts w:hint="eastAsia" w:ascii="仿宋" w:hAnsi="仿宋" w:eastAsia="仿宋"/>
          <w:sz w:val="28"/>
          <w:szCs w:val="28"/>
        </w:rPr>
        <w:t>，进一步提升港口危化品集装箱作业的安全性，上海市交通委员会于2</w:t>
      </w:r>
      <w:r>
        <w:rPr>
          <w:rFonts w:ascii="仿宋" w:hAnsi="仿宋" w:eastAsia="仿宋"/>
          <w:sz w:val="28"/>
          <w:szCs w:val="28"/>
        </w:rPr>
        <w:t>022年</w:t>
      </w:r>
      <w:r>
        <w:rPr>
          <w:rFonts w:hint="eastAsia" w:ascii="仿宋" w:hAnsi="仿宋" w:eastAsia="仿宋"/>
          <w:sz w:val="28"/>
          <w:szCs w:val="28"/>
        </w:rPr>
        <w:t>6月2</w:t>
      </w:r>
      <w:r>
        <w:rPr>
          <w:rFonts w:ascii="仿宋" w:hAnsi="仿宋" w:eastAsia="仿宋"/>
          <w:sz w:val="28"/>
          <w:szCs w:val="28"/>
        </w:rPr>
        <w:t>0日上午召开专项工作视频会</w:t>
      </w:r>
      <w:r>
        <w:rPr>
          <w:rFonts w:hint="eastAsia" w:ascii="仿宋" w:hAnsi="仿宋" w:eastAsia="仿宋"/>
          <w:sz w:val="28"/>
          <w:szCs w:val="28"/>
        </w:rPr>
        <w:t>，</w:t>
      </w:r>
      <w:r>
        <w:rPr>
          <w:rFonts w:ascii="仿宋" w:hAnsi="仿宋" w:eastAsia="仿宋"/>
          <w:sz w:val="28"/>
          <w:szCs w:val="28"/>
        </w:rPr>
        <w:t>根据会议精神和要求</w:t>
      </w:r>
      <w:r>
        <w:rPr>
          <w:rFonts w:hint="eastAsia" w:ascii="仿宋" w:hAnsi="仿宋" w:eastAsia="仿宋"/>
          <w:sz w:val="28"/>
          <w:szCs w:val="28"/>
        </w:rPr>
        <w:t>，现对于进口危化品（列入《危险化学品目录》（2</w:t>
      </w:r>
      <w:r>
        <w:rPr>
          <w:rFonts w:ascii="仿宋" w:hAnsi="仿宋" w:eastAsia="仿宋"/>
          <w:sz w:val="28"/>
          <w:szCs w:val="28"/>
        </w:rPr>
        <w:t>015版</w:t>
      </w:r>
      <w:r>
        <w:rPr>
          <w:rFonts w:hint="eastAsia" w:ascii="仿宋" w:hAnsi="仿宋" w:eastAsia="仿宋"/>
          <w:sz w:val="28"/>
          <w:szCs w:val="28"/>
        </w:rPr>
        <w:t>），但不受《国际海运危险货物规则》限制）集装箱的临时性操作要求</w:t>
      </w:r>
      <w:r>
        <w:rPr>
          <w:rFonts w:ascii="仿宋" w:hAnsi="仿宋" w:eastAsia="仿宋"/>
          <w:sz w:val="28"/>
          <w:szCs w:val="28"/>
        </w:rPr>
        <w:t>制定如下操作流程</w:t>
      </w:r>
      <w:r>
        <w:rPr>
          <w:rFonts w:hint="eastAsia" w:ascii="仿宋" w:hAnsi="仿宋" w:eastAsia="仿宋"/>
          <w:sz w:val="28"/>
          <w:szCs w:val="28"/>
        </w:rPr>
        <w:t>：</w:t>
      </w:r>
    </w:p>
    <w:p>
      <w:pPr>
        <w:ind w:firstLine="562" w:firstLineChars="200"/>
        <w:rPr>
          <w:rFonts w:ascii="仿宋" w:hAnsi="仿宋" w:eastAsia="仿宋"/>
          <w:b/>
          <w:sz w:val="28"/>
          <w:szCs w:val="28"/>
        </w:rPr>
      </w:pPr>
    </w:p>
    <w:p>
      <w:pPr>
        <w:ind w:firstLine="562" w:firstLineChars="200"/>
        <w:rPr>
          <w:rFonts w:ascii="仿宋" w:hAnsi="仿宋" w:eastAsia="仿宋"/>
          <w:b/>
          <w:sz w:val="28"/>
          <w:szCs w:val="28"/>
        </w:rPr>
      </w:pPr>
      <w:r>
        <w:rPr>
          <w:rFonts w:hint="eastAsia" w:ascii="仿宋" w:hAnsi="仿宋" w:eastAsia="仿宋"/>
          <w:b/>
          <w:sz w:val="28"/>
          <w:szCs w:val="28"/>
        </w:rPr>
        <w:t>一、现行操作流程：</w:t>
      </w:r>
    </w:p>
    <w:p>
      <w:pPr>
        <w:ind w:firstLine="280" w:firstLineChars="100"/>
        <w:rPr>
          <w:rFonts w:ascii="仿宋" w:hAnsi="仿宋" w:eastAsia="仿宋"/>
          <w:sz w:val="28"/>
          <w:szCs w:val="28"/>
        </w:rPr>
      </w:pPr>
      <w:r>
        <w:rPr>
          <w:rFonts w:hint="eastAsia" w:ascii="仿宋" w:hAnsi="仿宋" w:eastAsia="仿宋"/>
          <w:sz w:val="28"/>
          <w:szCs w:val="28"/>
        </w:rPr>
        <w:t>（一）对于目前已卸船的危化品集装箱，船公司及代理（或客户）须书面说明涉及货物相关情况，附具有资质的第三方机构出具的危化品的危险特性分类鉴定报告后，向上海市港航事业发展中心（电话：6</w:t>
      </w:r>
      <w:r>
        <w:rPr>
          <w:rFonts w:ascii="仿宋" w:hAnsi="仿宋" w:eastAsia="仿宋"/>
          <w:sz w:val="28"/>
          <w:szCs w:val="28"/>
        </w:rPr>
        <w:t>3236273</w:t>
      </w:r>
      <w:r>
        <w:rPr>
          <w:rFonts w:hint="eastAsia" w:ascii="仿宋" w:hAnsi="仿宋" w:eastAsia="仿宋"/>
          <w:sz w:val="28"/>
          <w:szCs w:val="28"/>
        </w:rPr>
        <w:t>）报备。</w:t>
      </w:r>
    </w:p>
    <w:p>
      <w:pPr>
        <w:ind w:firstLine="280" w:firstLineChars="100"/>
        <w:rPr>
          <w:rFonts w:ascii="仿宋" w:hAnsi="仿宋" w:eastAsia="仿宋"/>
          <w:sz w:val="28"/>
          <w:szCs w:val="28"/>
        </w:rPr>
      </w:pPr>
      <w:r>
        <w:rPr>
          <w:rFonts w:hint="eastAsia" w:ascii="仿宋" w:hAnsi="仿宋" w:eastAsia="仿宋"/>
          <w:sz w:val="28"/>
          <w:szCs w:val="28"/>
        </w:rPr>
        <w:t>（二）港航事业发展中心确认后，将通知相关码头公司安排落实相关作业。</w:t>
      </w:r>
    </w:p>
    <w:p>
      <w:pPr>
        <w:ind w:firstLine="280" w:firstLineChars="100"/>
        <w:rPr>
          <w:rFonts w:ascii="仿宋" w:hAnsi="仿宋" w:eastAsia="仿宋"/>
          <w:sz w:val="28"/>
          <w:szCs w:val="28"/>
        </w:rPr>
      </w:pPr>
      <w:r>
        <w:rPr>
          <w:rFonts w:hint="eastAsia" w:ascii="仿宋" w:hAnsi="仿宋" w:eastAsia="仿宋"/>
          <w:sz w:val="28"/>
          <w:szCs w:val="28"/>
        </w:rPr>
        <w:t>（三）对于需要进行疏港查验的危化品集装箱，码头公司须将相关批复资料抄送港城公司，港城公司在同时收到疏港计划和书面批复资料后，安排车辆至码头公司进行提箱作业。</w:t>
      </w:r>
    </w:p>
    <w:p>
      <w:pPr>
        <w:ind w:firstLine="562" w:firstLineChars="200"/>
        <w:rPr>
          <w:rFonts w:ascii="仿宋" w:hAnsi="仿宋" w:eastAsia="仿宋"/>
          <w:b/>
          <w:sz w:val="28"/>
          <w:szCs w:val="28"/>
        </w:rPr>
      </w:pPr>
    </w:p>
    <w:p>
      <w:pPr>
        <w:ind w:firstLine="562" w:firstLineChars="200"/>
        <w:rPr>
          <w:rFonts w:ascii="仿宋" w:hAnsi="仿宋" w:eastAsia="仿宋"/>
          <w:b/>
          <w:sz w:val="28"/>
          <w:szCs w:val="28"/>
        </w:rPr>
      </w:pPr>
    </w:p>
    <w:p>
      <w:pPr>
        <w:ind w:firstLine="562" w:firstLineChars="200"/>
        <w:rPr>
          <w:rFonts w:ascii="仿宋" w:hAnsi="仿宋" w:eastAsia="仿宋"/>
          <w:b/>
          <w:sz w:val="28"/>
          <w:szCs w:val="28"/>
        </w:rPr>
      </w:pPr>
      <w:r>
        <w:rPr>
          <w:rFonts w:ascii="仿宋" w:hAnsi="仿宋" w:eastAsia="仿宋"/>
          <w:b/>
          <w:sz w:val="28"/>
          <w:szCs w:val="28"/>
        </w:rPr>
        <w:t>二</w:t>
      </w:r>
      <w:r>
        <w:rPr>
          <w:rFonts w:hint="eastAsia" w:ascii="仿宋" w:hAnsi="仿宋" w:eastAsia="仿宋"/>
          <w:b/>
          <w:sz w:val="28"/>
          <w:szCs w:val="28"/>
        </w:rPr>
        <w:t>、下阶段操作流程：</w:t>
      </w:r>
    </w:p>
    <w:p>
      <w:pPr>
        <w:ind w:firstLine="280" w:firstLineChars="100"/>
        <w:rPr>
          <w:rFonts w:ascii="仿宋" w:hAnsi="仿宋" w:eastAsia="仿宋"/>
          <w:sz w:val="28"/>
          <w:szCs w:val="28"/>
        </w:rPr>
      </w:pPr>
      <w:r>
        <w:rPr>
          <w:rFonts w:hint="eastAsia" w:ascii="仿宋" w:hAnsi="仿宋" w:eastAsia="仿宋"/>
          <w:sz w:val="28"/>
          <w:szCs w:val="28"/>
        </w:rPr>
        <w:t>（一）自2</w:t>
      </w:r>
      <w:r>
        <w:rPr>
          <w:rFonts w:ascii="仿宋" w:hAnsi="仿宋" w:eastAsia="仿宋"/>
          <w:sz w:val="28"/>
          <w:szCs w:val="28"/>
        </w:rPr>
        <w:t>022年</w:t>
      </w:r>
      <w:r>
        <w:rPr>
          <w:rFonts w:hint="eastAsia" w:ascii="仿宋" w:hAnsi="仿宋" w:eastAsia="仿宋"/>
          <w:sz w:val="28"/>
          <w:szCs w:val="28"/>
        </w:rPr>
        <w:t>7月1日0</w:t>
      </w:r>
      <w:r>
        <w:rPr>
          <w:rFonts w:ascii="仿宋" w:hAnsi="仿宋" w:eastAsia="仿宋"/>
          <w:sz w:val="28"/>
          <w:szCs w:val="28"/>
        </w:rPr>
        <w:t>0时起</w:t>
      </w:r>
      <w:r>
        <w:rPr>
          <w:rFonts w:hint="eastAsia" w:ascii="仿宋" w:hAnsi="仿宋" w:eastAsia="仿宋"/>
          <w:sz w:val="28"/>
          <w:szCs w:val="28"/>
        </w:rPr>
        <w:t>，</w:t>
      </w:r>
      <w:r>
        <w:rPr>
          <w:rFonts w:ascii="仿宋" w:hAnsi="仿宋" w:eastAsia="仿宋"/>
          <w:sz w:val="28"/>
          <w:szCs w:val="28"/>
        </w:rPr>
        <w:t>船公司及代理须于船舶到港前</w:t>
      </w:r>
      <w:r>
        <w:rPr>
          <w:rFonts w:hint="eastAsia" w:ascii="仿宋" w:hAnsi="仿宋" w:eastAsia="仿宋"/>
          <w:sz w:val="28"/>
          <w:szCs w:val="28"/>
        </w:rPr>
        <w:t>2</w:t>
      </w:r>
      <w:r>
        <w:rPr>
          <w:rFonts w:ascii="仿宋" w:hAnsi="仿宋" w:eastAsia="仿宋"/>
          <w:sz w:val="28"/>
          <w:szCs w:val="28"/>
        </w:rPr>
        <w:t>4小时</w:t>
      </w:r>
      <w:r>
        <w:rPr>
          <w:rFonts w:hint="eastAsia" w:ascii="仿宋" w:hAnsi="仿宋" w:eastAsia="仿宋"/>
          <w:sz w:val="28"/>
          <w:szCs w:val="28"/>
        </w:rPr>
        <w:t>，</w:t>
      </w:r>
      <w:r>
        <w:rPr>
          <w:rFonts w:ascii="仿宋" w:hAnsi="仿宋" w:eastAsia="仿宋"/>
          <w:sz w:val="28"/>
          <w:szCs w:val="28"/>
        </w:rPr>
        <w:t>向作业码头提供具有资质的第三方机构出具的待作业危化品集装箱的危险特性分类鉴定报告</w:t>
      </w:r>
      <w:r>
        <w:rPr>
          <w:rFonts w:hint="eastAsia" w:ascii="仿宋" w:hAnsi="仿宋" w:eastAsia="仿宋"/>
          <w:sz w:val="28"/>
          <w:szCs w:val="28"/>
        </w:rPr>
        <w:t>，</w:t>
      </w:r>
      <w:r>
        <w:rPr>
          <w:rFonts w:ascii="仿宋" w:hAnsi="仿宋" w:eastAsia="仿宋"/>
          <w:sz w:val="28"/>
          <w:szCs w:val="28"/>
        </w:rPr>
        <w:t>以及填写规范完整的港口危险货物作业申报单</w:t>
      </w:r>
      <w:r>
        <w:rPr>
          <w:rFonts w:hint="eastAsia" w:ascii="仿宋" w:hAnsi="仿宋" w:eastAsia="仿宋"/>
          <w:sz w:val="28"/>
          <w:szCs w:val="28"/>
        </w:rPr>
        <w:t>（详见：“附件”，红色为船公司代理需要填写的内容）。</w:t>
      </w:r>
    </w:p>
    <w:p>
      <w:pPr>
        <w:ind w:firstLine="280" w:firstLineChars="100"/>
        <w:rPr>
          <w:rFonts w:ascii="仿宋" w:hAnsi="仿宋" w:eastAsia="仿宋"/>
          <w:sz w:val="28"/>
          <w:szCs w:val="28"/>
        </w:rPr>
      </w:pPr>
      <w:r>
        <w:rPr>
          <w:rFonts w:hint="eastAsia" w:ascii="仿宋" w:hAnsi="仿宋" w:eastAsia="仿宋"/>
          <w:sz w:val="28"/>
          <w:szCs w:val="28"/>
        </w:rPr>
        <w:t>（二）作业码头收齐相关资料，并在港口危险货物作业申报单上填写码头相关信息（“附件”中蓝色内容）并盖章后，一并上报上海市港航事业发展中心并电话确认，经收到书面审批同意后安排落实相关作业。</w:t>
      </w:r>
    </w:p>
    <w:p>
      <w:pPr>
        <w:ind w:firstLine="280" w:firstLineChars="100"/>
        <w:rPr>
          <w:rFonts w:ascii="仿宋" w:hAnsi="仿宋" w:eastAsia="仿宋"/>
          <w:sz w:val="28"/>
          <w:szCs w:val="28"/>
        </w:rPr>
      </w:pPr>
      <w:r>
        <w:rPr>
          <w:rFonts w:hint="eastAsia" w:ascii="仿宋" w:hAnsi="仿宋" w:eastAsia="仿宋"/>
          <w:sz w:val="28"/>
          <w:szCs w:val="28"/>
        </w:rPr>
        <w:t>（三）对于需要进行疏港查验的危化品集装箱，码头公司须将相关批复资料抄送港城公司，港城公司在收到疏港计划和书面批复资料后，安排车辆至码头公司进行提箱作业。</w:t>
      </w:r>
    </w:p>
    <w:p>
      <w:pPr>
        <w:ind w:firstLine="280" w:firstLineChars="100"/>
        <w:rPr>
          <w:rFonts w:ascii="仿宋" w:hAnsi="仿宋" w:eastAsia="仿宋"/>
          <w:sz w:val="28"/>
          <w:szCs w:val="28"/>
        </w:rPr>
      </w:pPr>
      <w:r>
        <w:rPr>
          <w:rFonts w:hint="eastAsia" w:ascii="仿宋" w:hAnsi="仿宋" w:eastAsia="仿宋"/>
          <w:sz w:val="28"/>
          <w:szCs w:val="28"/>
        </w:rPr>
        <w:t>（四）</w:t>
      </w:r>
      <w:r>
        <w:rPr>
          <w:rFonts w:ascii="仿宋" w:hAnsi="仿宋" w:eastAsia="仿宋"/>
          <w:sz w:val="28"/>
          <w:szCs w:val="28"/>
        </w:rPr>
        <w:t>码头公司及港城危库将综合相关信息</w:t>
      </w:r>
      <w:r>
        <w:rPr>
          <w:rFonts w:hint="eastAsia" w:ascii="仿宋" w:hAnsi="仿宋" w:eastAsia="仿宋"/>
          <w:sz w:val="28"/>
          <w:szCs w:val="28"/>
        </w:rPr>
        <w:t>，</w:t>
      </w:r>
      <w:r>
        <w:rPr>
          <w:rFonts w:ascii="仿宋" w:hAnsi="仿宋" w:eastAsia="仿宋"/>
          <w:sz w:val="28"/>
          <w:szCs w:val="28"/>
        </w:rPr>
        <w:t>将其特定货物归类为最相似的某一类的危险货物类别</w:t>
      </w:r>
      <w:r>
        <w:rPr>
          <w:rFonts w:hint="eastAsia" w:ascii="仿宋" w:hAnsi="仿宋" w:eastAsia="仿宋"/>
          <w:sz w:val="28"/>
          <w:szCs w:val="28"/>
        </w:rPr>
        <w:t>，</w:t>
      </w:r>
      <w:r>
        <w:rPr>
          <w:rFonts w:ascii="仿宋" w:hAnsi="仿宋" w:eastAsia="仿宋"/>
          <w:sz w:val="28"/>
          <w:szCs w:val="28"/>
        </w:rPr>
        <w:t>采取相应的安全防范措施</w:t>
      </w:r>
      <w:r>
        <w:rPr>
          <w:rFonts w:hint="eastAsia" w:ascii="仿宋" w:hAnsi="仿宋" w:eastAsia="仿宋"/>
          <w:sz w:val="28"/>
          <w:szCs w:val="28"/>
        </w:rPr>
        <w:t>，</w:t>
      </w:r>
      <w:r>
        <w:rPr>
          <w:rFonts w:ascii="仿宋" w:hAnsi="仿宋" w:eastAsia="仿宋"/>
          <w:sz w:val="28"/>
          <w:szCs w:val="28"/>
        </w:rPr>
        <w:t>提供相应的港口作业及堆存等服务</w:t>
      </w:r>
      <w:r>
        <w:rPr>
          <w:rFonts w:hint="eastAsia" w:ascii="仿宋" w:hAnsi="仿宋" w:eastAsia="仿宋"/>
          <w:sz w:val="28"/>
          <w:szCs w:val="28"/>
        </w:rPr>
        <w:t>，</w:t>
      </w:r>
      <w:r>
        <w:rPr>
          <w:rFonts w:ascii="仿宋" w:hAnsi="仿宋" w:eastAsia="仿宋"/>
          <w:sz w:val="28"/>
          <w:szCs w:val="28"/>
        </w:rPr>
        <w:t>并按相应类别的标准进行计费</w:t>
      </w:r>
      <w:r>
        <w:rPr>
          <w:rFonts w:hint="eastAsia" w:ascii="仿宋" w:hAnsi="仿宋" w:eastAsia="仿宋"/>
          <w:sz w:val="28"/>
          <w:szCs w:val="28"/>
        </w:rPr>
        <w:t>。</w:t>
      </w:r>
    </w:p>
    <w:p>
      <w:pPr>
        <w:ind w:firstLine="560" w:firstLineChars="200"/>
        <w:rPr>
          <w:rFonts w:ascii="仿宋" w:hAnsi="仿宋" w:eastAsia="仿宋"/>
          <w:sz w:val="28"/>
          <w:szCs w:val="28"/>
        </w:rPr>
      </w:pPr>
      <w:r>
        <w:rPr>
          <w:rFonts w:ascii="仿宋" w:hAnsi="仿宋" w:eastAsia="仿宋"/>
          <w:sz w:val="28"/>
          <w:szCs w:val="28"/>
        </w:rPr>
        <w:t>三</w:t>
      </w:r>
      <w:r>
        <w:rPr>
          <w:rFonts w:hint="eastAsia" w:ascii="仿宋" w:hAnsi="仿宋" w:eastAsia="仿宋"/>
          <w:sz w:val="28"/>
          <w:szCs w:val="28"/>
        </w:rPr>
        <w:t>、为进一步提升此类货物业务操作的便捷性及港、航双方互通协作效率，后续将尽快研究优化相关电子信息系统功能，从而实现“无纸化”申报模式。</w:t>
      </w:r>
      <w:r>
        <w:rPr>
          <w:rFonts w:ascii="仿宋" w:hAnsi="仿宋" w:eastAsia="仿宋"/>
          <w:sz w:val="28"/>
          <w:szCs w:val="28"/>
        </w:rPr>
        <w:t xml:space="preserve"> </w:t>
      </w:r>
    </w:p>
    <w:p>
      <w:pPr>
        <w:ind w:firstLine="560" w:firstLineChars="200"/>
        <w:rPr>
          <w:rFonts w:ascii="仿宋" w:hAnsi="仿宋" w:eastAsia="仿宋"/>
          <w:sz w:val="28"/>
          <w:szCs w:val="28"/>
        </w:rPr>
      </w:pPr>
      <w:r>
        <w:rPr>
          <w:rFonts w:hint="eastAsia" w:ascii="仿宋" w:hAnsi="仿宋" w:eastAsia="仿宋"/>
          <w:sz w:val="28"/>
          <w:szCs w:val="28"/>
        </w:rPr>
        <w:t>附件：港口危险货物</w:t>
      </w:r>
      <w:r>
        <w:rPr>
          <w:rFonts w:ascii="仿宋" w:hAnsi="仿宋" w:eastAsia="仿宋"/>
          <w:sz w:val="28"/>
          <w:szCs w:val="28"/>
        </w:rPr>
        <w:t>作业申报单</w:t>
      </w:r>
      <w:r>
        <w:rPr>
          <w:rFonts w:hint="eastAsia" w:ascii="仿宋" w:hAnsi="仿宋" w:eastAsia="仿宋"/>
          <w:sz w:val="28"/>
          <w:szCs w:val="28"/>
        </w:rPr>
        <w:t>（样张）</w:t>
      </w:r>
    </w:p>
    <w:p>
      <w:pPr>
        <w:ind w:firstLine="560" w:firstLineChars="200"/>
        <w:jc w:val="right"/>
        <w:rPr>
          <w:rFonts w:ascii="仿宋" w:hAnsi="仿宋" w:eastAsia="仿宋"/>
          <w:sz w:val="28"/>
          <w:szCs w:val="28"/>
        </w:rPr>
      </w:pPr>
      <w:r>
        <w:rPr>
          <w:rFonts w:ascii="仿宋" w:hAnsi="仿宋" w:eastAsia="仿宋"/>
          <w:sz w:val="28"/>
          <w:szCs w:val="28"/>
        </w:rPr>
        <w:t>上港集团</w:t>
      </w:r>
    </w:p>
    <w:p>
      <w:pPr>
        <w:ind w:firstLine="560" w:firstLineChars="200"/>
        <w:jc w:val="right"/>
        <w:rPr>
          <w:rFonts w:ascii="仿宋" w:hAnsi="仿宋" w:eastAsia="仿宋"/>
          <w:sz w:val="28"/>
          <w:szCs w:val="28"/>
        </w:rPr>
      </w:pPr>
      <w:r>
        <w:rPr>
          <w:rFonts w:ascii="仿宋" w:hAnsi="仿宋" w:eastAsia="仿宋"/>
          <w:sz w:val="28"/>
          <w:szCs w:val="28"/>
        </w:rPr>
        <w:t>安全监督部</w:t>
      </w:r>
      <w:r>
        <w:rPr>
          <w:rFonts w:hint="eastAsia" w:ascii="仿宋" w:hAnsi="仿宋" w:eastAsia="仿宋"/>
          <w:sz w:val="28"/>
          <w:szCs w:val="28"/>
        </w:rPr>
        <w:t>、</w:t>
      </w:r>
      <w:r>
        <w:rPr>
          <w:rFonts w:ascii="仿宋" w:hAnsi="仿宋" w:eastAsia="仿宋"/>
          <w:sz w:val="28"/>
          <w:szCs w:val="28"/>
        </w:rPr>
        <w:t>生产业务部</w:t>
      </w:r>
    </w:p>
    <w:p>
      <w:pPr>
        <w:ind w:firstLine="560" w:firstLineChars="200"/>
        <w:jc w:val="right"/>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022年</w:t>
      </w:r>
      <w:r>
        <w:rPr>
          <w:rFonts w:hint="eastAsia" w:ascii="仿宋" w:hAnsi="仿宋" w:eastAsia="仿宋"/>
          <w:sz w:val="28"/>
          <w:szCs w:val="28"/>
        </w:rPr>
        <w:t>6月2</w:t>
      </w:r>
      <w:r>
        <w:rPr>
          <w:rFonts w:ascii="仿宋" w:hAnsi="仿宋" w:eastAsia="仿宋"/>
          <w:sz w:val="28"/>
          <w:szCs w:val="28"/>
        </w:rPr>
        <w:t>0日</w:t>
      </w:r>
    </w:p>
    <w:p>
      <w:pPr>
        <w:ind w:right="1120"/>
        <w:rPr>
          <w:rFonts w:ascii="仿宋" w:hAnsi="仿宋" w:eastAsia="仿宋"/>
          <w:sz w:val="28"/>
          <w:szCs w:val="28"/>
        </w:rPr>
      </w:pPr>
      <w:r>
        <w:rPr>
          <w:rFonts w:hint="eastAsia" w:ascii="仿宋" w:hAnsi="仿宋" w:eastAsia="仿宋"/>
          <w:bCs/>
          <w:sz w:val="28"/>
          <w:szCs w:val="28"/>
        </w:rPr>
        <w:t xml:space="preserve">附件： </w:t>
      </w:r>
      <w:r>
        <w:rPr>
          <w:rFonts w:ascii="仿宋" w:hAnsi="仿宋" w:eastAsia="仿宋"/>
          <w:bCs/>
          <w:sz w:val="28"/>
          <w:szCs w:val="28"/>
        </w:rPr>
        <w:t xml:space="preserve">  </w:t>
      </w:r>
      <w:r>
        <w:rPr>
          <w:rFonts w:hint="eastAsia" w:ascii="仿宋" w:hAnsi="仿宋" w:eastAsia="仿宋"/>
          <w:bCs/>
          <w:sz w:val="28"/>
          <w:szCs w:val="28"/>
        </w:rPr>
        <w:t xml:space="preserve"> </w:t>
      </w:r>
      <w:r>
        <w:rPr>
          <w:rFonts w:hint="eastAsia"/>
          <w:b/>
          <w:bCs/>
          <w:sz w:val="32"/>
          <w:szCs w:val="32"/>
        </w:rPr>
        <w:t>港口危险货物作业申报单（样张）</w:t>
      </w:r>
      <w:r>
        <w:rPr>
          <w:rFonts w:hint="eastAsia" w:ascii="宋体" w:hAnsi="宋体"/>
          <w:b/>
          <w:bCs/>
          <w:sz w:val="24"/>
        </w:rPr>
        <w:t>编号：</w:t>
      </w:r>
      <w:r>
        <w:rPr>
          <w:rFonts w:hint="eastAsia" w:ascii="宋体" w:hAnsi="宋体"/>
          <w:b/>
          <w:bCs/>
          <w:color w:val="000000" w:themeColor="text1"/>
          <w:sz w:val="24"/>
          <w14:textFill>
            <w14:solidFill>
              <w14:schemeClr w14:val="tx1"/>
            </w14:solidFill>
          </w14:textFill>
        </w:rPr>
        <w:t>**</w:t>
      </w:r>
    </w:p>
    <w:p>
      <w:pPr>
        <w:spacing w:line="400" w:lineRule="exact"/>
        <w:ind w:firstLine="1185" w:firstLineChars="492"/>
        <w:rPr>
          <w:rFonts w:ascii="宋体" w:hAnsi="宋体"/>
          <w:b/>
          <w:bCs/>
          <w:sz w:val="24"/>
        </w:rPr>
      </w:pPr>
      <w:r>
        <w:rPr>
          <w:rFonts w:hint="eastAsia"/>
          <w:b/>
          <w:bCs/>
          <w:sz w:val="24"/>
        </w:rPr>
        <w:t xml:space="preserve">                                       </w:t>
      </w:r>
      <w:r>
        <w:rPr>
          <w:rFonts w:hint="eastAsia" w:ascii="宋体" w:hAnsi="宋体"/>
          <w:b/>
          <w:bCs/>
          <w:sz w:val="24"/>
        </w:rPr>
        <w:t xml:space="preserve">     </w:t>
      </w:r>
    </w:p>
    <w:p>
      <w:pPr>
        <w:spacing w:line="400" w:lineRule="exact"/>
        <w:rPr>
          <w:rFonts w:ascii="宋体" w:hAnsi="宋体"/>
          <w:b/>
          <w:bCs/>
          <w:color w:val="FF0000"/>
          <w:sz w:val="24"/>
        </w:rPr>
      </w:pPr>
      <w:r>
        <w:rPr>
          <w:rFonts w:hint="eastAsia" w:ascii="宋体" w:hAnsi="宋体"/>
          <w:b/>
          <w:bCs/>
          <w:sz w:val="24"/>
        </w:rPr>
        <w:t xml:space="preserve">港口作业企业： </w:t>
      </w:r>
      <w:r>
        <w:rPr>
          <w:rFonts w:hint="eastAsia" w:ascii="宋体" w:hAnsi="宋体"/>
          <w:b/>
          <w:bCs/>
          <w:color w:val="0070C0"/>
          <w:sz w:val="24"/>
        </w:rPr>
        <w:t xml:space="preserve">****** </w:t>
      </w:r>
      <w:r>
        <w:rPr>
          <w:rFonts w:hint="eastAsia" w:ascii="宋体" w:hAnsi="宋体"/>
          <w:b/>
          <w:bCs/>
          <w:color w:val="FF0000"/>
          <w:sz w:val="24"/>
        </w:rPr>
        <w:t xml:space="preserve"> </w:t>
      </w:r>
      <w:r>
        <w:rPr>
          <w:rFonts w:hint="eastAsia" w:ascii="宋体" w:hAnsi="宋体"/>
          <w:b/>
          <w:bCs/>
          <w:sz w:val="24"/>
        </w:rPr>
        <w:t xml:space="preserve">              </w:t>
      </w:r>
      <w:r>
        <w:rPr>
          <w:rFonts w:ascii="宋体" w:hAnsi="宋体"/>
          <w:b/>
          <w:bCs/>
          <w:sz w:val="24"/>
        </w:rPr>
        <w:t xml:space="preserve"> </w:t>
      </w:r>
      <w:r>
        <w:rPr>
          <w:rFonts w:hint="eastAsia" w:ascii="宋体" w:hAnsi="宋体"/>
          <w:b/>
          <w:bCs/>
          <w:sz w:val="24"/>
        </w:rPr>
        <w:t xml:space="preserve"> 作 业 委 托 人：</w:t>
      </w:r>
      <w:r>
        <w:rPr>
          <w:rFonts w:hint="eastAsia" w:ascii="宋体" w:hAnsi="宋体"/>
          <w:b/>
          <w:bCs/>
          <w:color w:val="FF0000"/>
          <w:sz w:val="24"/>
        </w:rPr>
        <w:t>***</w:t>
      </w:r>
    </w:p>
    <w:p>
      <w:pPr>
        <w:spacing w:line="400" w:lineRule="exact"/>
        <w:rPr>
          <w:rFonts w:ascii="宋体" w:hAnsi="宋体"/>
          <w:b/>
          <w:bCs/>
          <w:color w:val="0070C0"/>
          <w:sz w:val="24"/>
        </w:rPr>
      </w:pPr>
      <w:r>
        <w:rPr>
          <w:rFonts w:hint="eastAsia" w:ascii="宋体" w:hAnsi="宋体"/>
          <w:b/>
          <w:bCs/>
          <w:sz w:val="24"/>
        </w:rPr>
        <w:t xml:space="preserve">船名 / 航次 ：  </w:t>
      </w:r>
      <w:r>
        <w:rPr>
          <w:rFonts w:hint="eastAsia" w:ascii="宋体" w:hAnsi="宋体"/>
          <w:b/>
          <w:bCs/>
          <w:color w:val="FF0000"/>
          <w:sz w:val="24"/>
        </w:rPr>
        <w:t xml:space="preserve">**/** </w:t>
      </w:r>
      <w:r>
        <w:rPr>
          <w:rFonts w:hint="eastAsia" w:ascii="宋体" w:hAnsi="宋体"/>
          <w:b/>
          <w:bCs/>
          <w:sz w:val="24"/>
        </w:rPr>
        <w:t xml:space="preserve">                 拟作业时间/地点：</w:t>
      </w:r>
      <w:r>
        <w:rPr>
          <w:rFonts w:hint="eastAsia" w:ascii="宋体" w:hAnsi="宋体"/>
          <w:b/>
          <w:bCs/>
          <w:color w:val="0070C0"/>
          <w:sz w:val="24"/>
        </w:rPr>
        <w:t>**/**</w:t>
      </w:r>
    </w:p>
    <w:p>
      <w:pPr>
        <w:spacing w:line="400" w:lineRule="exact"/>
        <w:rPr>
          <w:rFonts w:ascii="宋体" w:hAnsi="宋体"/>
          <w:b/>
          <w:bCs/>
          <w:color w:val="FF0000"/>
          <w:sz w:val="24"/>
        </w:rPr>
      </w:pPr>
      <w:r>
        <w:rPr>
          <w:rFonts w:hint="eastAsia" w:ascii="宋体" w:hAnsi="宋体"/>
          <w:b/>
          <w:bCs/>
          <w:sz w:val="24"/>
        </w:rPr>
        <w:t xml:space="preserve">起运港 / 码头：  </w:t>
      </w:r>
      <w:r>
        <w:rPr>
          <w:rFonts w:hint="eastAsia" w:ascii="宋体" w:hAnsi="宋体"/>
          <w:b/>
          <w:bCs/>
          <w:color w:val="FF0000"/>
          <w:sz w:val="24"/>
        </w:rPr>
        <w:t>**/**</w:t>
      </w:r>
      <w:r>
        <w:rPr>
          <w:rFonts w:hint="eastAsia" w:ascii="宋体" w:hAnsi="宋体"/>
          <w:b/>
          <w:bCs/>
          <w:sz w:val="24"/>
        </w:rPr>
        <w:t xml:space="preserve">                 目的港 / 码头：</w:t>
      </w:r>
      <w:r>
        <w:rPr>
          <w:rFonts w:hint="eastAsia" w:ascii="宋体" w:hAnsi="宋体"/>
          <w:b/>
          <w:bCs/>
          <w:color w:val="FF0000"/>
          <w:sz w:val="24"/>
        </w:rPr>
        <w:t>**/**</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1517"/>
        <w:gridCol w:w="1183"/>
        <w:gridCol w:w="1184"/>
        <w:gridCol w:w="1185"/>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tcPr>
          <w:p>
            <w:pPr>
              <w:spacing w:line="280" w:lineRule="exact"/>
              <w:ind w:firstLine="619"/>
              <w:jc w:val="center"/>
              <w:rPr>
                <w:rFonts w:ascii="宋体" w:hAnsi="宋体"/>
                <w:b/>
                <w:sz w:val="24"/>
              </w:rPr>
            </w:pPr>
            <w:r>
              <w:rPr>
                <w:rFonts w:hint="eastAsia" w:ascii="宋体" w:hAnsi="宋体"/>
                <w:b/>
                <w:sz w:val="24"/>
              </w:rPr>
              <w:t>货物基本概况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pPr>
              <w:spacing w:line="280" w:lineRule="exact"/>
              <w:ind w:firstLine="619"/>
              <w:jc w:val="center"/>
              <w:rPr>
                <w:rFonts w:ascii="宋体" w:hAnsi="宋体"/>
                <w:b/>
                <w:sz w:val="24"/>
              </w:rPr>
            </w:pPr>
            <w:r>
              <w:rPr>
                <w:rFonts w:hint="eastAsia" w:ascii="宋体" w:hAnsi="宋体"/>
                <w:b/>
                <w:sz w:val="24"/>
              </w:rPr>
              <w:t>货 物 名称</w:t>
            </w:r>
          </w:p>
        </w:tc>
        <w:tc>
          <w:tcPr>
            <w:tcW w:w="6254" w:type="dxa"/>
            <w:gridSpan w:val="5"/>
          </w:tcPr>
          <w:p>
            <w:pPr>
              <w:spacing w:line="280" w:lineRule="exact"/>
              <w:ind w:firstLine="619"/>
              <w:rPr>
                <w:rFonts w:ascii="宋体" w:hAnsi="宋体"/>
                <w:b/>
                <w:sz w:val="24"/>
              </w:rPr>
            </w:pPr>
            <w:r>
              <w:rPr>
                <w:rFonts w:hint="eastAsia" w:ascii="宋体" w:hAnsi="宋体"/>
                <w:b/>
                <w:color w:val="FF0000"/>
                <w:sz w:val="24"/>
              </w:rPr>
              <w:t>二乙醇胺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68" w:type="dxa"/>
            <w:vAlign w:val="center"/>
          </w:tcPr>
          <w:p>
            <w:pPr>
              <w:spacing w:line="280" w:lineRule="exact"/>
              <w:jc w:val="center"/>
              <w:rPr>
                <w:rFonts w:ascii="宋体" w:hAnsi="宋体"/>
                <w:b/>
                <w:sz w:val="24"/>
              </w:rPr>
            </w:pPr>
            <w:r>
              <w:rPr>
                <w:rFonts w:hint="eastAsia" w:ascii="宋体" w:hAnsi="宋体"/>
                <w:b/>
                <w:sz w:val="24"/>
              </w:rPr>
              <w:t>联合国(UN)</w:t>
            </w:r>
          </w:p>
        </w:tc>
        <w:tc>
          <w:tcPr>
            <w:tcW w:w="1517" w:type="dxa"/>
          </w:tcPr>
          <w:p>
            <w:pPr>
              <w:spacing w:line="280" w:lineRule="exact"/>
              <w:ind w:firstLine="619"/>
              <w:rPr>
                <w:rFonts w:ascii="宋体" w:hAnsi="宋体"/>
                <w:b/>
                <w:sz w:val="24"/>
              </w:rPr>
            </w:pPr>
            <w:r>
              <w:rPr>
                <w:rFonts w:hint="eastAsia" w:ascii="宋体" w:hAnsi="宋体"/>
                <w:b/>
                <w:color w:val="FF0000"/>
                <w:sz w:val="24"/>
              </w:rPr>
              <w:t>/</w:t>
            </w:r>
          </w:p>
        </w:tc>
        <w:tc>
          <w:tcPr>
            <w:tcW w:w="1183" w:type="dxa"/>
            <w:vAlign w:val="center"/>
          </w:tcPr>
          <w:p>
            <w:pPr>
              <w:spacing w:line="280" w:lineRule="exact"/>
              <w:rPr>
                <w:rFonts w:ascii="宋体" w:hAnsi="宋体"/>
                <w:b/>
                <w:bCs/>
                <w:sz w:val="24"/>
              </w:rPr>
            </w:pPr>
            <w:r>
              <w:rPr>
                <w:rFonts w:hint="eastAsia" w:ascii="宋体" w:hAnsi="宋体"/>
                <w:b/>
                <w:sz w:val="24"/>
              </w:rPr>
              <w:t>危险类别</w:t>
            </w:r>
          </w:p>
        </w:tc>
        <w:tc>
          <w:tcPr>
            <w:tcW w:w="1184" w:type="dxa"/>
            <w:vAlign w:val="center"/>
          </w:tcPr>
          <w:p>
            <w:pPr>
              <w:spacing w:line="280" w:lineRule="exact"/>
              <w:ind w:firstLine="619"/>
              <w:rPr>
                <w:rFonts w:ascii="宋体" w:hAnsi="宋体"/>
                <w:b/>
                <w:sz w:val="24"/>
              </w:rPr>
            </w:pPr>
            <w:r>
              <w:rPr>
                <w:rFonts w:hint="eastAsia" w:ascii="宋体" w:hAnsi="宋体"/>
                <w:b/>
                <w:color w:val="FF0000"/>
                <w:sz w:val="24"/>
              </w:rPr>
              <w:t>/</w:t>
            </w:r>
          </w:p>
        </w:tc>
        <w:tc>
          <w:tcPr>
            <w:tcW w:w="1185" w:type="dxa"/>
            <w:vAlign w:val="center"/>
          </w:tcPr>
          <w:p>
            <w:pPr>
              <w:spacing w:line="280" w:lineRule="exact"/>
              <w:rPr>
                <w:rFonts w:ascii="宋体" w:hAnsi="宋体"/>
                <w:b/>
                <w:sz w:val="24"/>
              </w:rPr>
            </w:pPr>
            <w:r>
              <w:rPr>
                <w:rFonts w:hint="eastAsia" w:ascii="宋体" w:hAnsi="宋体"/>
                <w:b/>
                <w:sz w:val="24"/>
              </w:rPr>
              <w:t>包装类别</w:t>
            </w:r>
          </w:p>
        </w:tc>
        <w:tc>
          <w:tcPr>
            <w:tcW w:w="1185" w:type="dxa"/>
            <w:vAlign w:val="center"/>
          </w:tcPr>
          <w:p>
            <w:pPr>
              <w:spacing w:line="280" w:lineRule="exact"/>
              <w:ind w:firstLine="619"/>
              <w:rPr>
                <w:rFonts w:ascii="宋体" w:hAnsi="宋体"/>
                <w:b/>
                <w:sz w:val="24"/>
              </w:rPr>
            </w:pPr>
            <w:r>
              <w:rPr>
                <w:rFonts w:hint="eastAsia" w:ascii="宋体" w:hAnsi="宋体"/>
                <w:b/>
                <w:color w:val="FF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68" w:type="dxa"/>
          </w:tcPr>
          <w:p>
            <w:pPr>
              <w:spacing w:line="280" w:lineRule="exact"/>
              <w:jc w:val="center"/>
              <w:rPr>
                <w:rFonts w:ascii="宋体" w:hAnsi="宋体"/>
                <w:b/>
                <w:sz w:val="24"/>
              </w:rPr>
            </w:pPr>
            <w:r>
              <w:rPr>
                <w:rFonts w:hint="eastAsia" w:ascii="宋体" w:hAnsi="宋体"/>
                <w:b/>
                <w:sz w:val="24"/>
              </w:rPr>
              <w:t>国内</w:t>
            </w:r>
          </w:p>
        </w:tc>
        <w:tc>
          <w:tcPr>
            <w:tcW w:w="6254" w:type="dxa"/>
            <w:gridSpan w:val="5"/>
          </w:tcPr>
          <w:p>
            <w:pPr>
              <w:spacing w:line="280" w:lineRule="exact"/>
              <w:ind w:firstLine="944" w:firstLineChars="392"/>
              <w:rPr>
                <w:rFonts w:ascii="宋体" w:hAnsi="宋体"/>
                <w:b/>
                <w:bCs/>
                <w:sz w:val="24"/>
              </w:rPr>
            </w:pPr>
            <w:r>
              <w:rPr>
                <w:rFonts w:hint="eastAsia" w:ascii="宋体" w:hAnsi="宋体"/>
                <w:b/>
                <w:bCs/>
                <w:color w:val="FF0000"/>
                <w:sz w:val="24"/>
              </w:rPr>
              <w:t>危险化学品</w:t>
            </w:r>
            <w:r>
              <w:rPr>
                <w:rFonts w:hint="eastAsia" w:ascii="宋体" w:hAnsi="宋体"/>
                <w:b/>
                <w:bCs/>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68" w:type="dxa"/>
          </w:tcPr>
          <w:p>
            <w:pPr>
              <w:spacing w:line="280" w:lineRule="exact"/>
              <w:jc w:val="center"/>
              <w:rPr>
                <w:rFonts w:ascii="宋体" w:hAnsi="宋体"/>
                <w:b/>
                <w:sz w:val="24"/>
              </w:rPr>
            </w:pPr>
            <w:r>
              <w:rPr>
                <w:rFonts w:hint="eastAsia" w:ascii="宋体" w:hAnsi="宋体"/>
                <w:b/>
                <w:sz w:val="24"/>
              </w:rPr>
              <w:t>CAS号</w:t>
            </w:r>
          </w:p>
        </w:tc>
        <w:tc>
          <w:tcPr>
            <w:tcW w:w="1517" w:type="dxa"/>
          </w:tcPr>
          <w:p>
            <w:pPr>
              <w:spacing w:line="280" w:lineRule="exact"/>
              <w:rPr>
                <w:rFonts w:ascii="宋体" w:hAnsi="宋体"/>
                <w:b/>
                <w:sz w:val="24"/>
              </w:rPr>
            </w:pPr>
            <w:r>
              <w:rPr>
                <w:rFonts w:hint="eastAsia" w:ascii="宋体" w:hAnsi="宋体"/>
                <w:b/>
                <w:color w:val="FF0000"/>
                <w:sz w:val="24"/>
              </w:rPr>
              <w:t>111-42-2</w:t>
            </w:r>
          </w:p>
        </w:tc>
        <w:tc>
          <w:tcPr>
            <w:tcW w:w="1183" w:type="dxa"/>
            <w:vAlign w:val="center"/>
          </w:tcPr>
          <w:p>
            <w:pPr>
              <w:spacing w:line="280" w:lineRule="exact"/>
              <w:rPr>
                <w:rFonts w:ascii="宋体" w:hAnsi="宋体"/>
                <w:b/>
                <w:bCs/>
                <w:sz w:val="24"/>
              </w:rPr>
            </w:pPr>
            <w:r>
              <w:rPr>
                <w:rFonts w:hint="eastAsia" w:ascii="宋体" w:hAnsi="宋体"/>
                <w:b/>
                <w:bCs/>
                <w:sz w:val="24"/>
              </w:rPr>
              <w:t>作业量</w:t>
            </w:r>
          </w:p>
        </w:tc>
        <w:tc>
          <w:tcPr>
            <w:tcW w:w="3554" w:type="dxa"/>
            <w:gridSpan w:val="3"/>
            <w:vAlign w:val="center"/>
          </w:tcPr>
          <w:p>
            <w:pPr>
              <w:spacing w:line="280" w:lineRule="exact"/>
              <w:ind w:firstLine="944" w:firstLineChars="392"/>
              <w:rPr>
                <w:rFonts w:ascii="宋体" w:hAnsi="宋体"/>
                <w:b/>
                <w:sz w:val="24"/>
              </w:rPr>
            </w:pPr>
            <w:r>
              <w:rPr>
                <w:rFonts w:hint="eastAsia" w:ascii="宋体" w:hAnsi="宋体"/>
                <w:b/>
                <w:bCs/>
                <w:sz w:val="24"/>
              </w:rPr>
              <w:t xml:space="preserve">吨 </w:t>
            </w:r>
            <w:r>
              <w:rPr>
                <w:rFonts w:hint="eastAsia" w:ascii="宋体" w:hAnsi="宋体"/>
                <w:b/>
                <w:bCs/>
                <w:color w:val="FF0000"/>
                <w:sz w:val="24"/>
              </w:rPr>
              <w:t>20</w:t>
            </w:r>
            <w:r>
              <w:rPr>
                <w:rFonts w:hint="eastAsia" w:ascii="宋体" w:hAnsi="宋体"/>
                <w:b/>
                <w:bCs/>
                <w:sz w:val="24"/>
              </w:rPr>
              <w:t xml:space="preserve"> 件   </w:t>
            </w:r>
            <w:r>
              <w:rPr>
                <w:rFonts w:hint="eastAsia" w:ascii="宋体" w:hAnsi="宋体"/>
                <w:b/>
                <w:bCs/>
                <w:color w:val="FF0000"/>
                <w:sz w:val="24"/>
              </w:rPr>
              <w:t xml:space="preserve"> 1 </w:t>
            </w:r>
            <w:r>
              <w:rPr>
                <w:rFonts w:hint="eastAsia" w:ascii="宋体" w:hAnsi="宋体"/>
                <w:b/>
                <w:bCs/>
                <w:sz w:val="24"/>
              </w:rPr>
              <w:t xml:space="preserve"> TEU</w:t>
            </w:r>
          </w:p>
        </w:tc>
      </w:tr>
    </w:tbl>
    <w:p>
      <w:pPr>
        <w:spacing w:line="280" w:lineRule="exact"/>
        <w:rPr>
          <w:rFonts w:ascii="宋体" w:hAnsi="宋体"/>
          <w:b/>
          <w:bCs/>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ind w:firstLine="3361" w:firstLineChars="1395"/>
              <w:rPr>
                <w:rFonts w:ascii="宋体" w:hAnsi="宋体"/>
                <w:b/>
                <w:bCs/>
                <w:sz w:val="24"/>
              </w:rPr>
            </w:pPr>
            <w:r>
              <w:rPr>
                <w:rFonts w:hint="eastAsia" w:ascii="宋体" w:hAnsi="宋体"/>
                <w:b/>
                <w:bCs/>
                <w:sz w:val="24"/>
              </w:rPr>
              <w:t>货物运输形式</w:t>
            </w:r>
            <w:r>
              <w:rPr>
                <w:rFonts w:hint="eastAsia" w:ascii="宋体" w:hAnsi="宋体"/>
                <w:b/>
                <w:bCs/>
                <w:color w:val="FF0000"/>
                <w:sz w:val="24"/>
              </w:rPr>
              <w:t>（按实际情况勾选）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rPr>
                <w:rFonts w:ascii="宋体" w:hAnsi="宋体"/>
                <w:b/>
                <w:bCs/>
                <w:sz w:val="24"/>
              </w:rPr>
            </w:pPr>
            <w:r>
              <w:rPr>
                <w:rFonts w:hint="eastAsia" w:ascii="宋体" w:hAnsi="宋体"/>
                <w:b/>
                <w:bCs/>
                <w:sz w:val="24"/>
              </w:rPr>
              <w:t>包装件（</w:t>
            </w:r>
            <w:r>
              <w:rPr>
                <w:rFonts w:hint="eastAsia" w:ascii="宋体" w:hAnsi="宋体"/>
                <w:b/>
                <w:bCs/>
                <w:color w:val="000000"/>
                <w:sz w:val="24"/>
              </w:rPr>
              <w:t xml:space="preserve"> </w:t>
            </w:r>
            <w:r>
              <w:rPr>
                <w:rFonts w:hint="eastAsia" w:ascii="宋体" w:hAnsi="宋体"/>
                <w:b/>
                <w:bCs/>
                <w:sz w:val="24"/>
              </w:rPr>
              <w:t xml:space="preserve">□单一包件     </w:t>
            </w:r>
            <w:r>
              <w:rPr>
                <w:rFonts w:hint="eastAsia" w:ascii="宋体" w:hAnsi="宋体"/>
                <w:b/>
                <w:bCs/>
                <w:color w:val="FF0000"/>
                <w:sz w:val="24"/>
              </w:rPr>
              <w:sym w:font="Wingdings 2" w:char="0052"/>
            </w:r>
            <w:r>
              <w:rPr>
                <w:rFonts w:hint="eastAsia" w:ascii="宋体" w:hAnsi="宋体"/>
                <w:b/>
                <w:bCs/>
                <w:sz w:val="24"/>
              </w:rPr>
              <w:t>20′集装箱   □40′集装箱    □其它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rPr>
                <w:rFonts w:ascii="宋体" w:hAnsi="宋体"/>
                <w:b/>
                <w:bCs/>
                <w:sz w:val="24"/>
              </w:rPr>
            </w:pPr>
            <w:r>
              <w:rPr>
                <w:rFonts w:hint="eastAsia" w:ascii="宋体" w:hAnsi="宋体"/>
                <w:b/>
                <w:bCs/>
                <w:sz w:val="24"/>
              </w:rPr>
              <w:t xml:space="preserve">散  装（ □液体         </w:t>
            </w:r>
            <w:r>
              <w:rPr>
                <w:rFonts w:hint="eastAsia" w:ascii="宋体" w:hAnsi="宋体"/>
                <w:b/>
                <w:bCs/>
                <w:sz w:val="24"/>
              </w:rPr>
              <w:sym w:font="Wingdings 2" w:char="00A3"/>
            </w:r>
            <w:r>
              <w:rPr>
                <w:rFonts w:hint="eastAsia" w:ascii="宋体" w:hAnsi="宋体"/>
                <w:b/>
                <w:bCs/>
                <w:sz w:val="24"/>
              </w:rPr>
              <w:t>固体         □气体          □其它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rPr>
                <w:rFonts w:ascii="宋体" w:hAnsi="宋体"/>
                <w:b/>
                <w:bCs/>
                <w:sz w:val="24"/>
              </w:rPr>
            </w:pPr>
            <w:r>
              <w:rPr>
                <w:rFonts w:hint="eastAsia" w:ascii="宋体" w:hAnsi="宋体"/>
                <w:b/>
                <w:bCs/>
                <w:sz w:val="24"/>
              </w:rPr>
              <w:t>中  散（ □柔性         □刚性         □其它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rPr>
                <w:rFonts w:ascii="宋体" w:hAnsi="宋体"/>
                <w:b/>
                <w:bCs/>
                <w:sz w:val="24"/>
              </w:rPr>
            </w:pPr>
            <w:r>
              <w:rPr>
                <w:rFonts w:hint="eastAsia" w:ascii="宋体" w:hAnsi="宋体"/>
                <w:b/>
                <w:bCs/>
                <w:sz w:val="24"/>
              </w:rPr>
              <w:t>罐  柜（ □集装箱       □槽罐车       □其它  ）</w:t>
            </w:r>
          </w:p>
        </w:tc>
      </w:tr>
    </w:tbl>
    <w:p>
      <w:pPr>
        <w:spacing w:line="280" w:lineRule="exact"/>
        <w:rPr>
          <w:rFonts w:ascii="宋体" w:hAnsi="宋体"/>
          <w:b/>
          <w:bCs/>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jc w:val="center"/>
              <w:rPr>
                <w:rFonts w:ascii="宋体" w:hAnsi="宋体"/>
                <w:b/>
                <w:bCs/>
                <w:sz w:val="24"/>
              </w:rPr>
            </w:pPr>
            <w:r>
              <w:rPr>
                <w:rFonts w:hint="eastAsia" w:ascii="宋体" w:hAnsi="宋体"/>
                <w:b/>
                <w:bCs/>
                <w:sz w:val="24"/>
              </w:rPr>
              <w:t>港口作业方式</w:t>
            </w:r>
            <w:r>
              <w:rPr>
                <w:rFonts w:hint="eastAsia" w:ascii="宋体" w:hAnsi="宋体"/>
                <w:b/>
                <w:bCs/>
                <w:color w:val="FF0000"/>
                <w:sz w:val="24"/>
              </w:rPr>
              <w:t>（按实际情况勾选）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line="280" w:lineRule="exact"/>
              <w:ind w:firstLine="1687" w:firstLineChars="700"/>
              <w:rPr>
                <w:rFonts w:ascii="宋体" w:hAnsi="宋体"/>
                <w:b/>
                <w:bCs/>
                <w:sz w:val="24"/>
              </w:rPr>
            </w:pPr>
            <w:r>
              <w:rPr>
                <w:rFonts w:hint="eastAsia" w:ascii="宋体" w:hAnsi="宋体"/>
                <w:b/>
                <w:bCs/>
                <w:color w:val="FF0000"/>
                <w:sz w:val="24"/>
              </w:rPr>
              <w:sym w:font="Wingdings 2" w:char="0052"/>
            </w:r>
            <w:r>
              <w:rPr>
                <w:rFonts w:hint="eastAsia" w:ascii="宋体" w:hAnsi="宋体"/>
                <w:b/>
                <w:bCs/>
                <w:sz w:val="24"/>
              </w:rPr>
              <w:t xml:space="preserve">装卸            □过驳         □储存   </w:t>
            </w:r>
          </w:p>
        </w:tc>
      </w:tr>
    </w:tbl>
    <w:p>
      <w:pPr>
        <w:spacing w:line="280" w:lineRule="exact"/>
        <w:rPr>
          <w:rFonts w:ascii="宋体" w:hAnsi="宋体"/>
          <w:b/>
          <w:bCs/>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9628" w:type="dxa"/>
          </w:tcPr>
          <w:p>
            <w:pPr>
              <w:spacing w:line="280" w:lineRule="exact"/>
              <w:rPr>
                <w:rFonts w:ascii="宋体" w:hAnsi="宋体"/>
                <w:b/>
                <w:bCs/>
                <w:sz w:val="24"/>
              </w:rPr>
            </w:pPr>
            <w:r>
              <w:rPr>
                <w:rFonts w:hint="eastAsia" w:ascii="宋体" w:hAnsi="宋体"/>
                <w:b/>
                <w:bCs/>
                <w:sz w:val="24"/>
              </w:rPr>
              <w:t>附交的相关单证及集装箱箱号：</w:t>
            </w:r>
          </w:p>
          <w:p>
            <w:pPr>
              <w:spacing w:line="280" w:lineRule="exact"/>
              <w:rPr>
                <w:rFonts w:ascii="宋体" w:hAnsi="宋体"/>
                <w:b/>
                <w:bCs/>
                <w:sz w:val="24"/>
              </w:rPr>
            </w:pPr>
          </w:p>
          <w:p>
            <w:pPr>
              <w:spacing w:line="280" w:lineRule="exact"/>
              <w:rPr>
                <w:rFonts w:ascii="宋体" w:hAnsi="宋体"/>
                <w:b/>
                <w:bCs/>
                <w:color w:val="FF0000"/>
                <w:sz w:val="24"/>
              </w:rPr>
            </w:pPr>
            <w:r>
              <w:rPr>
                <w:rFonts w:hint="eastAsia" w:ascii="宋体" w:hAnsi="宋体"/>
                <w:b/>
                <w:bCs/>
                <w:color w:val="FF0000"/>
                <w:sz w:val="24"/>
              </w:rPr>
              <w:t>JY22******（证书编号）（要求另附复印件），UETU*******（箱号）</w:t>
            </w:r>
          </w:p>
          <w:p>
            <w:pPr>
              <w:spacing w:line="280" w:lineRule="exact"/>
              <w:rPr>
                <w:rFonts w:ascii="宋体" w:hAnsi="宋体"/>
                <w:b/>
                <w:bCs/>
                <w:sz w:val="24"/>
              </w:rPr>
            </w:pPr>
          </w:p>
        </w:tc>
      </w:tr>
    </w:tbl>
    <w:p>
      <w:pPr>
        <w:spacing w:line="280" w:lineRule="exact"/>
        <w:rPr>
          <w:rFonts w:ascii="宋体" w:hAnsi="宋体"/>
          <w:b/>
          <w:bCs/>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9628" w:type="dxa"/>
          </w:tcPr>
          <w:p>
            <w:pPr>
              <w:spacing w:line="280" w:lineRule="exact"/>
              <w:rPr>
                <w:rFonts w:ascii="宋体" w:hAnsi="宋体"/>
                <w:b/>
                <w:bCs/>
                <w:sz w:val="24"/>
              </w:rPr>
            </w:pPr>
            <w:r>
              <w:rPr>
                <w:rFonts w:hint="eastAsia" w:ascii="宋体" w:hAnsi="宋体"/>
                <w:b/>
                <w:bCs/>
                <w:sz w:val="24"/>
              </w:rPr>
              <w:t>安全防范措施：</w:t>
            </w:r>
          </w:p>
          <w:p>
            <w:pPr>
              <w:spacing w:line="280" w:lineRule="exact"/>
              <w:rPr>
                <w:rFonts w:ascii="宋体" w:hAnsi="宋体"/>
                <w:b/>
                <w:bCs/>
                <w:color w:val="FF0000"/>
                <w:sz w:val="24"/>
              </w:rPr>
            </w:pPr>
            <w:r>
              <w:rPr>
                <w:rFonts w:hint="eastAsia" w:ascii="宋体" w:hAnsi="宋体"/>
                <w:b/>
                <w:bCs/>
                <w:color w:val="FF0000"/>
                <w:sz w:val="24"/>
              </w:rPr>
              <w:t>严格按照******等特性做好安全防范措施。</w:t>
            </w:r>
          </w:p>
          <w:p>
            <w:pPr>
              <w:spacing w:line="280" w:lineRule="exact"/>
              <w:rPr>
                <w:rFonts w:ascii="宋体" w:hAnsi="宋体"/>
                <w:b/>
                <w:bCs/>
                <w:sz w:val="24"/>
              </w:rPr>
            </w:pPr>
          </w:p>
        </w:tc>
      </w:tr>
    </w:tbl>
    <w:p>
      <w:pPr>
        <w:spacing w:line="280" w:lineRule="exact"/>
        <w:rPr>
          <w:rFonts w:ascii="宋体" w:hAnsi="宋体"/>
          <w:b/>
          <w:bCs/>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1"/>
        <w:gridCol w:w="3203"/>
        <w:gridCol w:w="3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0" w:hRule="atLeast"/>
        </w:trPr>
        <w:tc>
          <w:tcPr>
            <w:tcW w:w="1908" w:type="dxa"/>
          </w:tcPr>
          <w:p>
            <w:pPr>
              <w:spacing w:line="280" w:lineRule="exact"/>
              <w:rPr>
                <w:rFonts w:ascii="宋体" w:hAnsi="宋体"/>
                <w:b/>
                <w:bCs/>
                <w:sz w:val="24"/>
              </w:rPr>
            </w:pPr>
            <w:r>
              <w:rPr>
                <w:rFonts w:hint="eastAsia" w:ascii="宋体" w:hAnsi="宋体"/>
                <w:b/>
                <w:bCs/>
                <w:sz w:val="24"/>
              </w:rPr>
              <w:t>申报声明：</w:t>
            </w:r>
          </w:p>
          <w:p>
            <w:pPr>
              <w:spacing w:line="280" w:lineRule="exact"/>
              <w:rPr>
                <w:rFonts w:ascii="宋体" w:hAnsi="宋体"/>
                <w:b/>
                <w:bCs/>
                <w:sz w:val="24"/>
              </w:rPr>
            </w:pPr>
            <w:r>
              <w:rPr>
                <w:rFonts w:hint="eastAsia" w:ascii="宋体" w:hAnsi="宋体"/>
                <w:b/>
                <w:bCs/>
                <w:sz w:val="24"/>
              </w:rPr>
              <w:t xml:space="preserve">    以上申报内容及附交的相关单证齐全、正确无误，具备和符合港口危险货物安全作业条件。</w:t>
            </w:r>
          </w:p>
        </w:tc>
        <w:tc>
          <w:tcPr>
            <w:tcW w:w="3321" w:type="dxa"/>
          </w:tcPr>
          <w:p>
            <w:pPr>
              <w:spacing w:line="400" w:lineRule="exact"/>
              <w:rPr>
                <w:rFonts w:ascii="宋体" w:hAnsi="宋体"/>
                <w:b/>
                <w:bCs/>
                <w:sz w:val="24"/>
              </w:rPr>
            </w:pPr>
            <w:r>
              <w:rPr>
                <w:rFonts w:hint="eastAsia" w:ascii="宋体" w:hAnsi="宋体"/>
                <w:b/>
                <w:bCs/>
                <w:sz w:val="24"/>
              </w:rPr>
              <w:t>申报员签名：</w:t>
            </w:r>
            <w:r>
              <w:rPr>
                <w:rFonts w:hint="eastAsia" w:ascii="宋体" w:hAnsi="宋体"/>
                <w:b/>
                <w:bCs/>
                <w:color w:val="0070C0"/>
                <w:sz w:val="24"/>
              </w:rPr>
              <w:t>**</w:t>
            </w:r>
          </w:p>
          <w:p>
            <w:pPr>
              <w:spacing w:line="400" w:lineRule="exact"/>
              <w:rPr>
                <w:rFonts w:ascii="宋体" w:hAnsi="宋体"/>
                <w:b/>
                <w:bCs/>
                <w:color w:val="FF0000"/>
                <w:sz w:val="24"/>
              </w:rPr>
            </w:pPr>
            <w:r>
              <w:rPr>
                <w:rFonts w:hint="eastAsia" w:ascii="宋体" w:hAnsi="宋体"/>
                <w:b/>
                <w:bCs/>
                <w:sz w:val="24"/>
              </w:rPr>
              <w:t>申报员证号：</w:t>
            </w:r>
            <w:r>
              <w:rPr>
                <w:rFonts w:hint="eastAsia" w:ascii="宋体" w:hAnsi="宋体"/>
                <w:b/>
                <w:bCs/>
                <w:color w:val="0070C0"/>
                <w:sz w:val="24"/>
              </w:rPr>
              <w:t>**</w:t>
            </w:r>
          </w:p>
          <w:p>
            <w:pPr>
              <w:spacing w:line="400" w:lineRule="exact"/>
              <w:rPr>
                <w:rFonts w:ascii="宋体" w:hAnsi="宋体"/>
                <w:b/>
                <w:bCs/>
                <w:color w:val="0070C0"/>
                <w:sz w:val="24"/>
              </w:rPr>
            </w:pPr>
            <w:r>
              <w:rPr>
                <w:rFonts w:hint="eastAsia" w:ascii="宋体" w:hAnsi="宋体"/>
                <w:b/>
                <w:bCs/>
                <w:sz w:val="24"/>
              </w:rPr>
              <w:t>申报单位：</w:t>
            </w:r>
            <w:r>
              <w:rPr>
                <w:rFonts w:hint="eastAsia" w:ascii="宋体" w:hAnsi="宋体"/>
                <w:b/>
                <w:bCs/>
                <w:color w:val="0070C0"/>
                <w:sz w:val="24"/>
              </w:rPr>
              <w:t>**</w:t>
            </w:r>
          </w:p>
          <w:p>
            <w:pPr>
              <w:spacing w:line="400" w:lineRule="exact"/>
              <w:rPr>
                <w:rFonts w:ascii="宋体" w:hAnsi="宋体"/>
                <w:b/>
                <w:bCs/>
                <w:sz w:val="24"/>
              </w:rPr>
            </w:pPr>
            <w:r>
              <w:rPr>
                <w:rFonts w:hint="eastAsia" w:ascii="宋体" w:hAnsi="宋体"/>
                <w:b/>
                <w:bCs/>
                <w:color w:val="0070C0"/>
                <w:sz w:val="24"/>
              </w:rPr>
              <w:t>（加盖作业码头企业印章）</w:t>
            </w:r>
          </w:p>
          <w:p>
            <w:pPr>
              <w:spacing w:line="400" w:lineRule="exact"/>
              <w:rPr>
                <w:rFonts w:ascii="宋体" w:hAnsi="宋体"/>
                <w:b/>
                <w:bCs/>
                <w:sz w:val="24"/>
              </w:rPr>
            </w:pPr>
          </w:p>
          <w:p>
            <w:pPr>
              <w:spacing w:line="400" w:lineRule="exact"/>
              <w:rPr>
                <w:rFonts w:ascii="宋体" w:hAnsi="宋体"/>
                <w:b/>
                <w:bCs/>
                <w:color w:val="FF0000"/>
                <w:sz w:val="24"/>
              </w:rPr>
            </w:pPr>
            <w:r>
              <w:rPr>
                <w:rFonts w:hint="eastAsia" w:ascii="宋体" w:hAnsi="宋体"/>
                <w:b/>
                <w:bCs/>
                <w:sz w:val="24"/>
              </w:rPr>
              <w:t>传真电话：</w:t>
            </w:r>
            <w:r>
              <w:rPr>
                <w:rFonts w:hint="eastAsia" w:ascii="宋体" w:hAnsi="宋体"/>
                <w:b/>
                <w:bCs/>
                <w:color w:val="0070C0"/>
                <w:sz w:val="24"/>
              </w:rPr>
              <w:t>****</w:t>
            </w:r>
          </w:p>
          <w:p>
            <w:pPr>
              <w:spacing w:line="400" w:lineRule="exact"/>
              <w:rPr>
                <w:rFonts w:ascii="宋体" w:hAnsi="宋体"/>
                <w:b/>
                <w:bCs/>
                <w:color w:val="0070C0"/>
                <w:sz w:val="24"/>
              </w:rPr>
            </w:pPr>
            <w:r>
              <w:rPr>
                <w:rFonts w:hint="eastAsia" w:ascii="宋体" w:hAnsi="宋体"/>
                <w:b/>
                <w:bCs/>
                <w:sz w:val="24"/>
              </w:rPr>
              <w:t>应急电话：</w:t>
            </w:r>
            <w:r>
              <w:rPr>
                <w:rFonts w:hint="eastAsia" w:ascii="宋体" w:hAnsi="宋体"/>
                <w:b/>
                <w:bCs/>
                <w:color w:val="0070C0"/>
                <w:sz w:val="24"/>
              </w:rPr>
              <w:t>手机号</w:t>
            </w:r>
          </w:p>
          <w:p>
            <w:pPr>
              <w:spacing w:line="400" w:lineRule="exact"/>
              <w:rPr>
                <w:rFonts w:ascii="宋体" w:hAnsi="宋体"/>
                <w:b/>
                <w:bCs/>
                <w:sz w:val="24"/>
              </w:rPr>
            </w:pPr>
            <w:r>
              <w:rPr>
                <w:rFonts w:hint="eastAsia" w:ascii="宋体" w:hAnsi="宋体"/>
                <w:b/>
                <w:bCs/>
                <w:sz w:val="24"/>
              </w:rPr>
              <w:t>申报日期/时间：</w:t>
            </w:r>
            <w:r>
              <w:rPr>
                <w:rFonts w:hint="eastAsia" w:ascii="宋体" w:hAnsi="宋体"/>
                <w:b/>
                <w:bCs/>
                <w:color w:val="0070C0"/>
                <w:sz w:val="24"/>
              </w:rPr>
              <w:t>**/**</w:t>
            </w:r>
          </w:p>
          <w:p>
            <w:pPr>
              <w:spacing w:line="400" w:lineRule="exact"/>
              <w:rPr>
                <w:rFonts w:ascii="宋体" w:hAnsi="宋体"/>
                <w:b/>
                <w:bCs/>
                <w:sz w:val="24"/>
              </w:rPr>
            </w:pPr>
          </w:p>
        </w:tc>
        <w:tc>
          <w:tcPr>
            <w:tcW w:w="3605" w:type="dxa"/>
          </w:tcPr>
          <w:p>
            <w:pPr>
              <w:spacing w:line="280" w:lineRule="exact"/>
              <w:rPr>
                <w:rFonts w:ascii="宋体" w:hAnsi="宋体"/>
                <w:b/>
                <w:bCs/>
                <w:sz w:val="24"/>
              </w:rPr>
            </w:pPr>
            <w:r>
              <w:rPr>
                <w:rFonts w:hint="eastAsia" w:ascii="宋体" w:hAnsi="宋体"/>
                <w:b/>
                <w:bCs/>
                <w:sz w:val="24"/>
              </w:rPr>
              <w:t xml:space="preserve">核准意见： </w:t>
            </w:r>
          </w:p>
          <w:p>
            <w:pPr>
              <w:spacing w:line="280" w:lineRule="exact"/>
              <w:rPr>
                <w:rFonts w:ascii="宋体" w:hAnsi="宋体"/>
                <w:b/>
                <w:bCs/>
                <w:sz w:val="24"/>
              </w:rPr>
            </w:pPr>
          </w:p>
          <w:p>
            <w:pPr>
              <w:spacing w:line="280" w:lineRule="exact"/>
              <w:rPr>
                <w:rFonts w:ascii="宋体" w:hAnsi="宋体"/>
                <w:b/>
                <w:bCs/>
                <w:sz w:val="24"/>
              </w:rPr>
            </w:pPr>
          </w:p>
          <w:p>
            <w:pPr>
              <w:spacing w:line="280" w:lineRule="exact"/>
              <w:rPr>
                <w:rFonts w:ascii="宋体" w:hAnsi="宋体"/>
                <w:b/>
                <w:bCs/>
                <w:sz w:val="24"/>
              </w:rPr>
            </w:pPr>
            <w:r>
              <w:rPr>
                <w:rFonts w:hint="eastAsia" w:ascii="宋体" w:hAnsi="宋体"/>
                <w:b/>
                <w:bCs/>
                <w:sz w:val="24"/>
              </w:rPr>
              <w:t>核准部门：</w:t>
            </w:r>
          </w:p>
          <w:p>
            <w:pPr>
              <w:spacing w:line="280" w:lineRule="exact"/>
              <w:rPr>
                <w:rFonts w:ascii="宋体" w:hAnsi="宋体"/>
                <w:b/>
                <w:bCs/>
                <w:sz w:val="24"/>
              </w:rPr>
            </w:pPr>
          </w:p>
          <w:p>
            <w:pPr>
              <w:spacing w:line="280" w:lineRule="exact"/>
              <w:rPr>
                <w:rFonts w:ascii="宋体" w:hAnsi="宋体"/>
                <w:b/>
                <w:bCs/>
                <w:sz w:val="24"/>
              </w:rPr>
            </w:pPr>
          </w:p>
          <w:p>
            <w:pPr>
              <w:spacing w:line="280" w:lineRule="exact"/>
              <w:rPr>
                <w:rFonts w:ascii="宋体" w:hAnsi="宋体"/>
                <w:b/>
                <w:bCs/>
                <w:sz w:val="24"/>
              </w:rPr>
            </w:pPr>
          </w:p>
          <w:p>
            <w:pPr>
              <w:spacing w:line="280" w:lineRule="exact"/>
              <w:rPr>
                <w:rFonts w:ascii="宋体" w:hAnsi="宋体"/>
                <w:b/>
                <w:bCs/>
                <w:sz w:val="24"/>
              </w:rPr>
            </w:pPr>
          </w:p>
          <w:p>
            <w:pPr>
              <w:spacing w:line="280" w:lineRule="exact"/>
              <w:rPr>
                <w:rFonts w:ascii="宋体" w:hAnsi="宋体"/>
                <w:b/>
                <w:bCs/>
                <w:sz w:val="24"/>
              </w:rPr>
            </w:pPr>
            <w:r>
              <w:rPr>
                <w:rFonts w:hint="eastAsia" w:ascii="宋体" w:hAnsi="宋体"/>
                <w:b/>
                <w:bCs/>
                <w:sz w:val="24"/>
              </w:rPr>
              <w:t>核 准 人：</w:t>
            </w:r>
          </w:p>
          <w:p>
            <w:pPr>
              <w:spacing w:line="280" w:lineRule="exact"/>
              <w:rPr>
                <w:rFonts w:ascii="宋体" w:hAnsi="宋体"/>
                <w:b/>
                <w:bCs/>
                <w:sz w:val="24"/>
              </w:rPr>
            </w:pPr>
          </w:p>
          <w:p>
            <w:pPr>
              <w:spacing w:line="280" w:lineRule="exact"/>
              <w:rPr>
                <w:rFonts w:ascii="宋体" w:hAnsi="宋体"/>
                <w:b/>
                <w:bCs/>
                <w:sz w:val="24"/>
              </w:rPr>
            </w:pPr>
          </w:p>
          <w:p>
            <w:pPr>
              <w:spacing w:line="280" w:lineRule="exact"/>
              <w:rPr>
                <w:rFonts w:ascii="宋体" w:hAnsi="宋体"/>
                <w:b/>
                <w:bCs/>
                <w:sz w:val="24"/>
              </w:rPr>
            </w:pPr>
            <w:r>
              <w:rPr>
                <w:rFonts w:hint="eastAsia" w:ascii="宋体" w:hAnsi="宋体"/>
                <w:b/>
                <w:bCs/>
                <w:sz w:val="24"/>
              </w:rPr>
              <w:t>核准时间：</w:t>
            </w:r>
          </w:p>
        </w:tc>
      </w:tr>
    </w:tbl>
    <w:p>
      <w:pPr>
        <w:tabs>
          <w:tab w:val="left" w:pos="4815"/>
        </w:tabs>
        <w:spacing w:line="260" w:lineRule="exact"/>
        <w:rPr>
          <w:rFonts w:ascii="宋体" w:hAnsi="宋体"/>
          <w:b/>
          <w:bCs/>
          <w:szCs w:val="21"/>
        </w:rPr>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-201930</wp:posOffset>
                </wp:positionV>
                <wp:extent cx="5101590" cy="999490"/>
                <wp:effectExtent l="0" t="0" r="22860" b="10795"/>
                <wp:wrapNone/>
                <wp:docPr id="1" name="椭圆 1"/>
                <wp:cNvGraphicFramePr/>
                <a:graphic xmlns:a="http://schemas.openxmlformats.org/drawingml/2006/main">
                  <a:graphicData uri="http://schemas.microsoft.com/office/word/2010/wordprocessingShape">
                    <wps:wsp>
                      <wps:cNvSpPr>
                        <a:spLocks noChangeArrowheads="1"/>
                      </wps:cNvSpPr>
                      <wps:spPr bwMode="auto">
                        <a:xfrm>
                          <a:off x="0" y="0"/>
                          <a:ext cx="5101856" cy="999298"/>
                        </a:xfrm>
                        <a:prstGeom prst="ellipse">
                          <a:avLst/>
                        </a:prstGeom>
                        <a:noFill/>
                        <a:ln w="9525">
                          <a:solidFill>
                            <a:srgbClr val="FF0000"/>
                          </a:solidFill>
                          <a:round/>
                        </a:ln>
                      </wps:spPr>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top:-15.9pt;height:78.7pt;width:401.7pt;mso-position-horizontal:left;mso-position-horizontal-relative:margin;z-index:251659264;mso-width-relative:page;mso-height-relative:page;" filled="f" stroked="t" coordsize="21600,21600" o:gfxdata="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nclPfXAAAACAEAAA8AAAAAAAAAAQAgAAAAIgAAAGRycy9kb3ducmV2LnhtbFBLAQIUABQA&#10;AAAIAIdO4kARO/1kKgIAADwEAAAOAAAAAAAAAAEAIAAAACYBAABkcnMvZTJvRG9jLnhtbFBLBQYA&#10;AAAABgAGAFkBAADCBQAAAAA=&#10;">
                <v:fill on="f" focussize="0,0"/>
                <v:stroke color="#FF0000" joinstyle="round"/>
                <v:imagedata o:title=""/>
                <o:lock v:ext="edit" aspectratio="f"/>
              </v:shape>
            </w:pict>
          </mc:Fallback>
        </mc:AlternateContent>
      </w:r>
    </w:p>
    <w:p>
      <w:pPr>
        <w:tabs>
          <w:tab w:val="left" w:pos="4815"/>
        </w:tabs>
        <w:spacing w:line="260" w:lineRule="exact"/>
        <w:rPr>
          <w:rFonts w:ascii="宋体" w:hAnsi="宋体"/>
          <w:b/>
          <w:bCs/>
          <w:w w:val="90"/>
          <w:szCs w:val="21"/>
        </w:rPr>
      </w:pPr>
      <w:r>
        <w:rPr>
          <w:rFonts w:hint="eastAsia" w:ascii="宋体" w:hAnsi="宋体"/>
          <w:b/>
          <w:bCs/>
          <w:w w:val="90"/>
          <w:szCs w:val="21"/>
        </w:rPr>
        <w:t>注：本申报单一式两份。其中一份为申报人持有、另一份为核准部门持有，以备查。</w:t>
      </w:r>
    </w:p>
    <w:p>
      <w:pPr>
        <w:tabs>
          <w:tab w:val="left" w:pos="4815"/>
        </w:tabs>
        <w:spacing w:line="260" w:lineRule="exact"/>
        <w:ind w:firstLine="380" w:firstLineChars="200"/>
        <w:rPr>
          <w:rFonts w:hint="eastAsia" w:ascii="宋体" w:hAnsi="宋体"/>
          <w:b/>
          <w:bCs/>
          <w:w w:val="90"/>
          <w:szCs w:val="21"/>
        </w:rPr>
      </w:pPr>
      <w:r>
        <w:rPr>
          <w:rFonts w:hint="eastAsia" w:ascii="宋体" w:hAnsi="宋体"/>
          <w:b/>
          <w:bCs/>
          <w:w w:val="90"/>
          <w:szCs w:val="21"/>
        </w:rPr>
        <w:t>联系电话：63236091；传真：63236127。</w:t>
      </w:r>
    </w:p>
    <w:p>
      <w:pPr>
        <w:tabs>
          <w:tab w:val="left" w:pos="4815"/>
        </w:tabs>
        <w:spacing w:line="260" w:lineRule="exact"/>
        <w:ind w:firstLine="422" w:firstLineChars="200"/>
        <w:rPr>
          <w:rFonts w:hint="eastAsia" w:ascii="宋体"/>
          <w:b/>
        </w:rPr>
      </w:pPr>
      <w:r>
        <w:rPr>
          <w:rFonts w:hint="eastAsia" w:ascii="宋体"/>
          <w:b/>
          <w:color w:val="FF0000"/>
        </w:rPr>
        <w:t>GHS</w:t>
      </w:r>
      <w:r>
        <w:rPr>
          <w:rFonts w:hint="eastAsia" w:ascii="宋体"/>
          <w:b/>
        </w:rPr>
        <w:t>指的是《全球化学品统一分类和标签制度</w:t>
      </w:r>
    </w:p>
    <w:p>
      <w:pPr>
        <w:tabs>
          <w:tab w:val="left" w:pos="4815"/>
        </w:tabs>
        <w:spacing w:line="260" w:lineRule="exact"/>
        <w:ind w:firstLine="422" w:firstLineChars="200"/>
        <w:rPr>
          <w:rFonts w:hint="eastAsia" w:ascii="宋体"/>
          <w:b/>
        </w:rPr>
      </w:pPr>
      <w:r>
        <w:rPr>
          <w:rFonts w:hint="eastAsia" w:ascii="宋体"/>
          <w:b/>
        </w:rPr>
        <w:t>》（Globally Harmonized System of Classification and Labelling of Chemicals，简称GHS，又称“紫皮书”）是由联合国于2003年出版的指导各国建立统一化学品分类和标签制度的规范性文件，因此也常被称为联合国GHS。</w:t>
      </w:r>
    </w:p>
    <w:p>
      <w:pPr>
        <w:tabs>
          <w:tab w:val="left" w:pos="4815"/>
        </w:tabs>
        <w:spacing w:line="260" w:lineRule="exact"/>
        <w:ind w:firstLine="422" w:firstLineChars="200"/>
        <w:rPr>
          <w:rFonts w:hint="eastAsia" w:ascii="宋体"/>
          <w:b/>
        </w:rPr>
      </w:pPr>
      <w:r>
        <w:rPr>
          <w:rFonts w:hint="eastAsia" w:ascii="宋体"/>
          <w:b/>
        </w:rPr>
        <w:t>TDG指的是联合国《关于危险货物运输的建议书 规章范本》，全称是the Transport Of Dangerous Goods。是关于危险化学品的运输规范。</w:t>
      </w:r>
    </w:p>
    <w:p>
      <w:pPr>
        <w:tabs>
          <w:tab w:val="left" w:pos="4815"/>
        </w:tabs>
        <w:spacing w:line="260" w:lineRule="exact"/>
        <w:rPr>
          <w:rFonts w:hint="eastAsia"/>
        </w:rPr>
      </w:pPr>
    </w:p>
    <w:p>
      <w:pPr>
        <w:tabs>
          <w:tab w:val="left" w:pos="4815"/>
        </w:tabs>
        <w:spacing w:line="260" w:lineRule="exact"/>
        <w:rPr>
          <w:rFonts w:ascii="宋体"/>
          <w:b/>
        </w:rPr>
      </w:pPr>
      <w:r>
        <w:drawing>
          <wp:inline distT="0" distB="0" distL="0" distR="0">
            <wp:extent cx="5274310" cy="381444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4310" cy="3814718"/>
                    </a:xfrm>
                    <a:prstGeom prst="rect">
                      <a:avLst/>
                    </a:prstGeom>
                  </pic:spPr>
                </pic:pic>
              </a:graphicData>
            </a:graphic>
          </wp:inline>
        </w:drawing>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2475585"/>
      <w:docPartObj>
        <w:docPartGallery w:val="AutoText"/>
      </w:docPartObj>
    </w:sdtPr>
    <w:sdtContent>
      <w:p>
        <w:pPr>
          <w:pStyle w:val="4"/>
          <w:jc w:val="center"/>
        </w:pPr>
        <w:r>
          <w:fldChar w:fldCharType="begin"/>
        </w:r>
        <w:r>
          <w:instrText xml:space="preserve">PAGE   \* MERGEFORMAT</w:instrText>
        </w:r>
        <w:r>
          <w:fldChar w:fldCharType="separate"/>
        </w:r>
        <w:r>
          <w:rPr>
            <w:lang w:val="zh-CN"/>
          </w:rPr>
          <w:t>4</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1AF"/>
    <w:rsid w:val="00025C59"/>
    <w:rsid w:val="00072BD4"/>
    <w:rsid w:val="000A4B40"/>
    <w:rsid w:val="00150B2D"/>
    <w:rsid w:val="00151734"/>
    <w:rsid w:val="00152373"/>
    <w:rsid w:val="001B0A6B"/>
    <w:rsid w:val="001B4FB9"/>
    <w:rsid w:val="001C7A32"/>
    <w:rsid w:val="001F4F19"/>
    <w:rsid w:val="001F66B9"/>
    <w:rsid w:val="00224548"/>
    <w:rsid w:val="00237A52"/>
    <w:rsid w:val="00336684"/>
    <w:rsid w:val="00347C5D"/>
    <w:rsid w:val="003E07B7"/>
    <w:rsid w:val="003F0C80"/>
    <w:rsid w:val="0043055F"/>
    <w:rsid w:val="004330DF"/>
    <w:rsid w:val="004C2C07"/>
    <w:rsid w:val="004D7ADB"/>
    <w:rsid w:val="004F1935"/>
    <w:rsid w:val="00547917"/>
    <w:rsid w:val="0056688B"/>
    <w:rsid w:val="005939CC"/>
    <w:rsid w:val="005C1318"/>
    <w:rsid w:val="005C600A"/>
    <w:rsid w:val="005D757C"/>
    <w:rsid w:val="005F18A6"/>
    <w:rsid w:val="006062CA"/>
    <w:rsid w:val="00626F00"/>
    <w:rsid w:val="00640A97"/>
    <w:rsid w:val="0066210A"/>
    <w:rsid w:val="0066798D"/>
    <w:rsid w:val="00697233"/>
    <w:rsid w:val="006B57B7"/>
    <w:rsid w:val="006C31B8"/>
    <w:rsid w:val="006C46F5"/>
    <w:rsid w:val="006C493A"/>
    <w:rsid w:val="006D6249"/>
    <w:rsid w:val="006F21AF"/>
    <w:rsid w:val="007230BF"/>
    <w:rsid w:val="00774257"/>
    <w:rsid w:val="007C621C"/>
    <w:rsid w:val="007F1C3D"/>
    <w:rsid w:val="00825AEB"/>
    <w:rsid w:val="008439C7"/>
    <w:rsid w:val="00880B56"/>
    <w:rsid w:val="00906BAA"/>
    <w:rsid w:val="009118B0"/>
    <w:rsid w:val="00982EBC"/>
    <w:rsid w:val="00983668"/>
    <w:rsid w:val="009A16F9"/>
    <w:rsid w:val="009C4BA3"/>
    <w:rsid w:val="009D0382"/>
    <w:rsid w:val="00A67638"/>
    <w:rsid w:val="00AA3C3B"/>
    <w:rsid w:val="00B068AD"/>
    <w:rsid w:val="00B06AB5"/>
    <w:rsid w:val="00B93AC9"/>
    <w:rsid w:val="00BC7A19"/>
    <w:rsid w:val="00C42056"/>
    <w:rsid w:val="00C65E05"/>
    <w:rsid w:val="00C765EC"/>
    <w:rsid w:val="00CB4EAC"/>
    <w:rsid w:val="00CC6620"/>
    <w:rsid w:val="00D4282E"/>
    <w:rsid w:val="00D46C84"/>
    <w:rsid w:val="00D808F5"/>
    <w:rsid w:val="00DC0ADF"/>
    <w:rsid w:val="00E1752B"/>
    <w:rsid w:val="00E949A5"/>
    <w:rsid w:val="00EE257A"/>
    <w:rsid w:val="00F42BD9"/>
    <w:rsid w:val="00F6036B"/>
    <w:rsid w:val="00F61EB7"/>
    <w:rsid w:val="00F71D0E"/>
    <w:rsid w:val="00FB6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0"/>
    <w:semiHidden/>
    <w:unhideWhenUsed/>
    <w:uiPriority w:val="99"/>
    <w:pPr>
      <w:ind w:left="100" w:leftChars="2500"/>
    </w:pPr>
  </w:style>
  <w:style w:type="paragraph" w:styleId="3">
    <w:name w:val="Balloon Text"/>
    <w:basedOn w:val="1"/>
    <w:link w:val="11"/>
    <w:semiHidden/>
    <w:unhideWhenUsed/>
    <w:uiPriority w:val="99"/>
    <w:rPr>
      <w:sz w:val="18"/>
      <w:szCs w:val="18"/>
    </w:rPr>
  </w:style>
  <w:style w:type="paragraph" w:styleId="4">
    <w:name w:val="footer"/>
    <w:basedOn w:val="1"/>
    <w:link w:val="9"/>
    <w:unhideWhenUsed/>
    <w:uiPriority w:val="99"/>
    <w:pPr>
      <w:tabs>
        <w:tab w:val="center" w:pos="4153"/>
        <w:tab w:val="right" w:pos="8306"/>
      </w:tabs>
      <w:snapToGrid w:val="0"/>
      <w:jc w:val="left"/>
    </w:pPr>
    <w:rPr>
      <w:sz w:val="18"/>
      <w:szCs w:val="18"/>
    </w:rPr>
  </w:style>
  <w:style w:type="paragraph" w:styleId="5">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uiPriority w:val="99"/>
    <w:rPr>
      <w:sz w:val="18"/>
      <w:szCs w:val="18"/>
    </w:rPr>
  </w:style>
  <w:style w:type="character" w:customStyle="1" w:styleId="9">
    <w:name w:val="页脚 Char"/>
    <w:basedOn w:val="7"/>
    <w:link w:val="4"/>
    <w:uiPriority w:val="99"/>
    <w:rPr>
      <w:sz w:val="18"/>
      <w:szCs w:val="18"/>
    </w:rPr>
  </w:style>
  <w:style w:type="character" w:customStyle="1" w:styleId="10">
    <w:name w:val="日期 Char"/>
    <w:basedOn w:val="7"/>
    <w:link w:val="2"/>
    <w:semiHidden/>
    <w:uiPriority w:val="99"/>
  </w:style>
  <w:style w:type="character" w:customStyle="1" w:styleId="11">
    <w:name w:val="批注框文本 Char"/>
    <w:basedOn w:val="7"/>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1460</Words>
  <Characters>1661</Characters>
  <Lines>14</Lines>
  <Paragraphs>4</Paragraphs>
  <TotalTime>14</TotalTime>
  <ScaleCrop>false</ScaleCrop>
  <LinksUpToDate>false</LinksUpToDate>
  <CharactersWithSpaces>1924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2022-07-15T03:22:00Z</dcterms:created>
  <dc:creator>user01</dc:creator>
  <cp:lastModifiedBy>young blood</cp:lastModifiedBy>
  <dcterms:modified xsi:type="dcterms:W3CDTF">2022-11-16T00:27:08Z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86718BE2B25A4F7A833176A652B89B6E</vt:lpwstr>
  </property>
</Properties>
</file>